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144C4" w:rsidRPr="000B5F58" w:rsidRDefault="006144C4" w:rsidP="006144C4">
      <w:pPr>
        <w:pStyle w:val="NormalWeb"/>
        <w:shd w:val="clear" w:color="auto" w:fill="FFFFFF"/>
        <w:spacing w:after="0"/>
        <w:ind w:left="720"/>
        <w:jc w:val="both"/>
        <w:rPr>
          <w:rFonts w:ascii="Arial" w:hAnsi="Arial" w:cs="Arial"/>
          <w:b/>
          <w:bCs/>
          <w:color w:val="26282A"/>
          <w:sz w:val="22"/>
          <w:szCs w:val="22"/>
        </w:rPr>
      </w:pPr>
      <w:r>
        <w:rPr>
          <w:rFonts w:ascii="Arial" w:hAnsi="Arial" w:cs="Arial"/>
          <w:b/>
          <w:bCs/>
          <w:color w:val="26282A"/>
          <w:sz w:val="22"/>
          <w:szCs w:val="22"/>
        </w:rPr>
        <w:t xml:space="preserve">1- </w:t>
      </w:r>
      <w:r w:rsidRPr="000B5F58">
        <w:rPr>
          <w:rFonts w:ascii="Arial" w:hAnsi="Arial" w:cs="Arial"/>
          <w:b/>
          <w:bCs/>
          <w:color w:val="26282A"/>
          <w:sz w:val="22"/>
          <w:szCs w:val="22"/>
        </w:rPr>
        <w:t>Régimen de regularización de deudas fiscales y previsionales. Ley 27.743 (B.O. 08/07/2024) y normas complementarias.</w:t>
      </w:r>
    </w:p>
    <w:p w:rsidR="006144C4" w:rsidRDefault="006144C4" w:rsidP="006144C4">
      <w:pPr>
        <w:pStyle w:val="NormalWeb"/>
        <w:shd w:val="clear" w:color="auto" w:fill="FFFFFF"/>
        <w:spacing w:after="0"/>
        <w:ind w:left="720"/>
        <w:jc w:val="both"/>
        <w:rPr>
          <w:rFonts w:ascii="Arial" w:hAnsi="Arial" w:cs="Arial"/>
          <w:bCs/>
          <w:i/>
          <w:color w:val="26282A"/>
          <w:sz w:val="22"/>
          <w:szCs w:val="22"/>
        </w:rPr>
      </w:pPr>
      <w:r w:rsidRPr="000B5F58">
        <w:rPr>
          <w:rFonts w:ascii="Arial" w:hAnsi="Arial" w:cs="Arial"/>
          <w:bCs/>
          <w:i/>
          <w:color w:val="26282A"/>
          <w:sz w:val="22"/>
          <w:szCs w:val="22"/>
        </w:rPr>
        <w:t xml:space="preserve">Comentarios a cargo de </w:t>
      </w:r>
      <w:r>
        <w:rPr>
          <w:rFonts w:ascii="Arial" w:hAnsi="Arial" w:cs="Arial"/>
          <w:bCs/>
          <w:i/>
          <w:color w:val="26282A"/>
          <w:sz w:val="22"/>
          <w:szCs w:val="22"/>
        </w:rPr>
        <w:t xml:space="preserve">Alejandra </w:t>
      </w:r>
      <w:proofErr w:type="spellStart"/>
      <w:r>
        <w:rPr>
          <w:rFonts w:ascii="Arial" w:hAnsi="Arial" w:cs="Arial"/>
          <w:bCs/>
          <w:i/>
          <w:color w:val="26282A"/>
          <w:sz w:val="22"/>
          <w:szCs w:val="22"/>
        </w:rPr>
        <w:t>Sarni</w:t>
      </w:r>
      <w:proofErr w:type="spellEnd"/>
      <w:r>
        <w:rPr>
          <w:rFonts w:ascii="Arial" w:hAnsi="Arial" w:cs="Arial"/>
          <w:bCs/>
          <w:i/>
          <w:color w:val="26282A"/>
          <w:sz w:val="22"/>
          <w:szCs w:val="22"/>
        </w:rPr>
        <w:t>.</w:t>
      </w:r>
    </w:p>
    <w:p w:rsidR="006144C4" w:rsidRDefault="006144C4" w:rsidP="006144C4">
      <w:pPr>
        <w:pStyle w:val="NormalWeb"/>
        <w:shd w:val="clear" w:color="auto" w:fill="FFFFFF"/>
        <w:spacing w:after="0"/>
        <w:ind w:left="720"/>
        <w:jc w:val="both"/>
        <w:rPr>
          <w:rFonts w:ascii="Arial" w:hAnsi="Arial" w:cs="Arial"/>
          <w:b/>
          <w:bCs/>
          <w:color w:val="26282A"/>
          <w:sz w:val="22"/>
          <w:szCs w:val="22"/>
        </w:rPr>
      </w:pPr>
      <w:r>
        <w:rPr>
          <w:rFonts w:ascii="Arial" w:hAnsi="Arial" w:cs="Arial"/>
          <w:b/>
          <w:bCs/>
          <w:color w:val="26282A"/>
          <w:sz w:val="22"/>
          <w:szCs w:val="22"/>
        </w:rPr>
        <w:t xml:space="preserve">2- </w:t>
      </w:r>
      <w:r w:rsidRPr="000B5F58">
        <w:rPr>
          <w:rFonts w:ascii="Arial" w:hAnsi="Arial" w:cs="Arial"/>
          <w:b/>
          <w:bCs/>
          <w:color w:val="26282A"/>
          <w:sz w:val="22"/>
          <w:szCs w:val="22"/>
        </w:rPr>
        <w:t>Régimen de regularización de activos no declarados. Ley 27.743 (B.O. 08/07/2024) y normas complementarias.</w:t>
      </w:r>
    </w:p>
    <w:p w:rsidR="000B5F58" w:rsidRPr="006144C4" w:rsidRDefault="006144C4" w:rsidP="006144C4">
      <w:pPr>
        <w:pStyle w:val="NormalWeb"/>
        <w:shd w:val="clear" w:color="auto" w:fill="FFFFFF"/>
        <w:spacing w:after="0"/>
        <w:ind w:left="720"/>
        <w:jc w:val="both"/>
        <w:rPr>
          <w:rFonts w:ascii="Arial" w:hAnsi="Arial" w:cs="Arial"/>
          <w:bCs/>
          <w:i/>
          <w:color w:val="26282A"/>
          <w:sz w:val="22"/>
          <w:szCs w:val="22"/>
        </w:rPr>
      </w:pPr>
      <w:r>
        <w:rPr>
          <w:rFonts w:ascii="Arial" w:hAnsi="Arial" w:cs="Arial"/>
          <w:bCs/>
          <w:i/>
          <w:color w:val="26282A"/>
          <w:sz w:val="22"/>
          <w:szCs w:val="22"/>
        </w:rPr>
        <w:t xml:space="preserve">Comentarios a cargo de Alberto </w:t>
      </w:r>
      <w:proofErr w:type="spellStart"/>
      <w:r>
        <w:rPr>
          <w:rFonts w:ascii="Arial" w:hAnsi="Arial" w:cs="Arial"/>
          <w:bCs/>
          <w:i/>
          <w:color w:val="26282A"/>
          <w:sz w:val="22"/>
          <w:szCs w:val="22"/>
        </w:rPr>
        <w:t>Mastandrea</w:t>
      </w:r>
      <w:proofErr w:type="spellEnd"/>
      <w:r>
        <w:rPr>
          <w:rFonts w:ascii="Arial" w:hAnsi="Arial" w:cs="Arial"/>
          <w:bCs/>
          <w:i/>
          <w:color w:val="26282A"/>
          <w:sz w:val="22"/>
          <w:szCs w:val="22"/>
        </w:rPr>
        <w:t>.</w:t>
      </w:r>
    </w:p>
    <w:p w:rsidR="006144C4" w:rsidRDefault="006144C4" w:rsidP="006144C4">
      <w:pPr>
        <w:pStyle w:val="NormalWeb"/>
        <w:shd w:val="clear" w:color="auto" w:fill="FFFFFF"/>
        <w:spacing w:after="0"/>
        <w:ind w:left="720"/>
        <w:jc w:val="both"/>
        <w:rPr>
          <w:rFonts w:ascii="Arial" w:hAnsi="Arial" w:cs="Arial"/>
          <w:b/>
          <w:bCs/>
          <w:color w:val="26282A"/>
          <w:sz w:val="22"/>
          <w:szCs w:val="22"/>
        </w:rPr>
      </w:pPr>
      <w:r>
        <w:rPr>
          <w:rFonts w:ascii="Arial" w:hAnsi="Arial" w:cs="Arial"/>
          <w:b/>
          <w:bCs/>
          <w:color w:val="26282A"/>
          <w:sz w:val="22"/>
          <w:szCs w:val="22"/>
        </w:rPr>
        <w:t>3- Liberación de impuestos en el Régimen de Regularización de Activos. Aspectos procesales.</w:t>
      </w:r>
    </w:p>
    <w:p w:rsidR="006144C4" w:rsidRPr="006144C4" w:rsidRDefault="006144C4" w:rsidP="006144C4">
      <w:pPr>
        <w:pStyle w:val="NormalWeb"/>
        <w:shd w:val="clear" w:color="auto" w:fill="FFFFFF"/>
        <w:spacing w:after="0"/>
        <w:ind w:left="720"/>
        <w:jc w:val="both"/>
        <w:rPr>
          <w:rFonts w:ascii="Arial" w:hAnsi="Arial" w:cs="Arial"/>
          <w:bCs/>
          <w:i/>
          <w:color w:val="26282A"/>
          <w:sz w:val="22"/>
          <w:szCs w:val="22"/>
        </w:rPr>
      </w:pPr>
      <w:r>
        <w:rPr>
          <w:rFonts w:ascii="Arial" w:hAnsi="Arial" w:cs="Arial"/>
          <w:bCs/>
          <w:i/>
          <w:color w:val="26282A"/>
          <w:sz w:val="22"/>
          <w:szCs w:val="22"/>
        </w:rPr>
        <w:t>Comentarios a cargo de Marcelo Badra.</w:t>
      </w:r>
    </w:p>
    <w:p w:rsidR="00AC07D2" w:rsidRDefault="006144C4" w:rsidP="000B5F58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b/>
          <w:bCs/>
          <w:color w:val="26282A"/>
          <w:sz w:val="22"/>
          <w:szCs w:val="22"/>
        </w:rPr>
      </w:pPr>
      <w:r>
        <w:rPr>
          <w:rFonts w:ascii="Arial" w:hAnsi="Arial" w:cs="Arial"/>
          <w:b/>
          <w:bCs/>
          <w:color w:val="26282A"/>
          <w:sz w:val="22"/>
          <w:szCs w:val="22"/>
        </w:rPr>
        <w:t>4</w:t>
      </w:r>
      <w:r w:rsidR="00AC07D2">
        <w:rPr>
          <w:rFonts w:ascii="Arial" w:hAnsi="Arial" w:cs="Arial"/>
          <w:b/>
          <w:bCs/>
          <w:color w:val="26282A"/>
          <w:sz w:val="22"/>
          <w:szCs w:val="22"/>
        </w:rPr>
        <w:t>-</w:t>
      </w:r>
      <w:r w:rsidR="00AA1CA2">
        <w:rPr>
          <w:rFonts w:ascii="Arial" w:hAnsi="Arial" w:cs="Arial"/>
          <w:b/>
          <w:bCs/>
          <w:color w:val="26282A"/>
          <w:sz w:val="22"/>
          <w:szCs w:val="22"/>
        </w:rPr>
        <w:t xml:space="preserve"> </w:t>
      </w:r>
      <w:r w:rsidR="004E32F4">
        <w:rPr>
          <w:rFonts w:ascii="Arial" w:hAnsi="Arial" w:cs="Arial"/>
          <w:b/>
          <w:bCs/>
          <w:color w:val="26282A"/>
          <w:sz w:val="22"/>
          <w:szCs w:val="22"/>
        </w:rPr>
        <w:t xml:space="preserve">Procedencia Acción Declarativa de Certeza. Acreditación de la confiscatoriedad. </w:t>
      </w:r>
    </w:p>
    <w:p w:rsidR="000B5F58" w:rsidRDefault="000B5F58" w:rsidP="000B5F58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b/>
          <w:bCs/>
          <w:color w:val="26282A"/>
          <w:sz w:val="22"/>
          <w:szCs w:val="22"/>
        </w:rPr>
      </w:pPr>
    </w:p>
    <w:p w:rsidR="00AC07D2" w:rsidRDefault="00AC07D2" w:rsidP="000B5F58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b/>
          <w:bCs/>
          <w:color w:val="26282A"/>
          <w:sz w:val="22"/>
          <w:szCs w:val="22"/>
        </w:rPr>
      </w:pPr>
      <w:r>
        <w:rPr>
          <w:rFonts w:ascii="Arial" w:hAnsi="Arial" w:cs="Arial"/>
          <w:b/>
          <w:bCs/>
          <w:color w:val="26282A"/>
          <w:sz w:val="22"/>
          <w:szCs w:val="22"/>
        </w:rPr>
        <w:t>“</w:t>
      </w:r>
      <w:r w:rsidR="006144C4">
        <w:rPr>
          <w:rFonts w:ascii="Arial" w:hAnsi="Arial" w:cs="Arial"/>
          <w:b/>
          <w:bCs/>
          <w:color w:val="26282A"/>
          <w:sz w:val="22"/>
          <w:szCs w:val="22"/>
        </w:rPr>
        <w:t>Mármoles</w:t>
      </w:r>
      <w:r>
        <w:rPr>
          <w:rFonts w:ascii="Arial" w:hAnsi="Arial" w:cs="Arial"/>
          <w:b/>
          <w:bCs/>
          <w:color w:val="26282A"/>
          <w:sz w:val="22"/>
          <w:szCs w:val="22"/>
        </w:rPr>
        <w:t xml:space="preserve"> y Granitos de San Luis c/ Estado Nacional (Poder Ejecutivo Nacional) s/ acción mere declarativa de inconstitucionalidad”</w:t>
      </w:r>
      <w:r w:rsidR="00AA1CA2">
        <w:rPr>
          <w:rFonts w:ascii="Arial" w:hAnsi="Arial" w:cs="Arial"/>
          <w:b/>
          <w:bCs/>
          <w:color w:val="26282A"/>
          <w:sz w:val="22"/>
          <w:szCs w:val="22"/>
        </w:rPr>
        <w:t>. Cámara Federal de Mendoza. 11/05/2023. CSJN. 20/02/2024.</w:t>
      </w:r>
    </w:p>
    <w:p w:rsidR="006144C4" w:rsidRDefault="006144C4" w:rsidP="000B5F58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bCs/>
          <w:i/>
          <w:color w:val="26282A"/>
          <w:sz w:val="22"/>
          <w:szCs w:val="22"/>
        </w:rPr>
      </w:pPr>
    </w:p>
    <w:p w:rsidR="000B5F58" w:rsidRPr="000B5F58" w:rsidRDefault="000B5F58" w:rsidP="000B5F58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bCs/>
          <w:i/>
          <w:color w:val="26282A"/>
          <w:sz w:val="22"/>
          <w:szCs w:val="22"/>
        </w:rPr>
      </w:pPr>
      <w:r>
        <w:rPr>
          <w:rFonts w:ascii="Arial" w:hAnsi="Arial" w:cs="Arial"/>
          <w:bCs/>
          <w:i/>
          <w:color w:val="26282A"/>
          <w:sz w:val="22"/>
          <w:szCs w:val="22"/>
        </w:rPr>
        <w:t>Comentarios a cargo de</w:t>
      </w:r>
      <w:r w:rsidR="006144C4">
        <w:rPr>
          <w:rFonts w:ascii="Arial" w:hAnsi="Arial" w:cs="Arial"/>
          <w:bCs/>
          <w:i/>
          <w:color w:val="26282A"/>
          <w:sz w:val="22"/>
          <w:szCs w:val="22"/>
        </w:rPr>
        <w:t xml:space="preserve"> Juan José Godoy.</w:t>
      </w:r>
    </w:p>
    <w:p w:rsidR="000B5F58" w:rsidRDefault="006144C4" w:rsidP="000B5F58">
      <w:pPr>
        <w:pStyle w:val="NormalWeb"/>
        <w:shd w:val="clear" w:color="auto" w:fill="FFFFFF"/>
        <w:spacing w:after="0"/>
        <w:ind w:left="720"/>
        <w:jc w:val="both"/>
        <w:rPr>
          <w:rFonts w:ascii="Arial" w:hAnsi="Arial" w:cs="Arial"/>
          <w:b/>
          <w:bCs/>
          <w:color w:val="26282A"/>
          <w:sz w:val="22"/>
          <w:szCs w:val="22"/>
        </w:rPr>
      </w:pPr>
      <w:r>
        <w:rPr>
          <w:rFonts w:ascii="Arial" w:hAnsi="Arial" w:cs="Arial"/>
          <w:b/>
          <w:bCs/>
          <w:color w:val="26282A"/>
          <w:sz w:val="22"/>
          <w:szCs w:val="22"/>
        </w:rPr>
        <w:t>5</w:t>
      </w:r>
      <w:r w:rsidR="000B5F58">
        <w:rPr>
          <w:rFonts w:ascii="Arial" w:hAnsi="Arial" w:cs="Arial"/>
          <w:b/>
          <w:bCs/>
          <w:color w:val="26282A"/>
          <w:sz w:val="22"/>
          <w:szCs w:val="22"/>
        </w:rPr>
        <w:t>- Admisibilidad del r</w:t>
      </w:r>
      <w:r w:rsidR="004E32F4">
        <w:rPr>
          <w:rFonts w:ascii="Arial" w:hAnsi="Arial" w:cs="Arial"/>
          <w:b/>
          <w:bCs/>
          <w:color w:val="26282A"/>
          <w:sz w:val="22"/>
          <w:szCs w:val="22"/>
        </w:rPr>
        <w:t>ecurso de queja.</w:t>
      </w:r>
      <w:r w:rsidR="000B5F58">
        <w:rPr>
          <w:rFonts w:ascii="Arial" w:hAnsi="Arial" w:cs="Arial"/>
          <w:b/>
          <w:bCs/>
          <w:color w:val="26282A"/>
          <w:sz w:val="22"/>
          <w:szCs w:val="22"/>
        </w:rPr>
        <w:t xml:space="preserve"> Doctrina de arbitrariedad</w:t>
      </w:r>
      <w:r w:rsidR="004E32F4">
        <w:rPr>
          <w:rFonts w:ascii="Arial" w:hAnsi="Arial" w:cs="Arial"/>
          <w:b/>
          <w:bCs/>
          <w:color w:val="26282A"/>
          <w:sz w:val="22"/>
          <w:szCs w:val="22"/>
        </w:rPr>
        <w:t>.</w:t>
      </w:r>
    </w:p>
    <w:p w:rsidR="00AA1CA2" w:rsidRDefault="00AA1CA2" w:rsidP="000B5F58">
      <w:pPr>
        <w:pStyle w:val="NormalWeb"/>
        <w:shd w:val="clear" w:color="auto" w:fill="FFFFFF"/>
        <w:spacing w:after="0"/>
        <w:ind w:left="720"/>
        <w:jc w:val="both"/>
        <w:rPr>
          <w:rFonts w:ascii="Arial" w:hAnsi="Arial" w:cs="Arial"/>
          <w:b/>
          <w:bCs/>
          <w:color w:val="26282A"/>
          <w:sz w:val="22"/>
          <w:szCs w:val="22"/>
        </w:rPr>
      </w:pPr>
      <w:r>
        <w:rPr>
          <w:rFonts w:ascii="Arial" w:hAnsi="Arial" w:cs="Arial"/>
          <w:b/>
          <w:bCs/>
          <w:color w:val="26282A"/>
          <w:sz w:val="22"/>
          <w:szCs w:val="22"/>
        </w:rPr>
        <w:t xml:space="preserve">“Petersen Thiele y Cruz S.A. de Construcciones y Mandatos c/ Municipalidad de Vicente López </w:t>
      </w:r>
      <w:r w:rsidRPr="00AA1CA2">
        <w:rPr>
          <w:rFonts w:ascii="Arial" w:hAnsi="Arial" w:cs="Arial"/>
          <w:b/>
          <w:bCs/>
          <w:color w:val="26282A"/>
          <w:sz w:val="22"/>
          <w:szCs w:val="22"/>
        </w:rPr>
        <w:t>s/ pretensión anulatoria.</w:t>
      </w:r>
      <w:r>
        <w:rPr>
          <w:rFonts w:ascii="Arial" w:hAnsi="Arial" w:cs="Arial"/>
          <w:b/>
          <w:bCs/>
          <w:color w:val="26282A"/>
          <w:sz w:val="22"/>
          <w:szCs w:val="22"/>
        </w:rPr>
        <w:t>” CSJN, 30/04/2024.</w:t>
      </w:r>
    </w:p>
    <w:p w:rsidR="000B5F58" w:rsidRPr="000B5F58" w:rsidRDefault="00AA1CA2" w:rsidP="000B5F58">
      <w:pPr>
        <w:pStyle w:val="NormalWeb"/>
        <w:shd w:val="clear" w:color="auto" w:fill="FFFFFF"/>
        <w:spacing w:after="0"/>
        <w:ind w:left="720"/>
        <w:jc w:val="both"/>
        <w:rPr>
          <w:rFonts w:ascii="Arial" w:hAnsi="Arial" w:cs="Arial"/>
          <w:bCs/>
          <w:i/>
          <w:color w:val="26282A"/>
          <w:sz w:val="22"/>
          <w:szCs w:val="22"/>
        </w:rPr>
      </w:pPr>
      <w:r>
        <w:rPr>
          <w:rFonts w:ascii="Arial" w:hAnsi="Arial" w:cs="Arial"/>
          <w:bCs/>
          <w:i/>
          <w:color w:val="26282A"/>
          <w:sz w:val="22"/>
          <w:szCs w:val="22"/>
        </w:rPr>
        <w:t>Comentarios a cargo de Juan José Godoy.</w:t>
      </w:r>
    </w:p>
    <w:p w:rsidR="00AA1CA2" w:rsidRDefault="006144C4" w:rsidP="000B5F58">
      <w:pPr>
        <w:pStyle w:val="NormalWeb"/>
        <w:shd w:val="clear" w:color="auto" w:fill="FFFFFF"/>
        <w:spacing w:after="0"/>
        <w:ind w:left="720"/>
        <w:jc w:val="both"/>
        <w:rPr>
          <w:rFonts w:ascii="Arial" w:hAnsi="Arial" w:cs="Arial"/>
          <w:b/>
          <w:bCs/>
          <w:color w:val="26282A"/>
          <w:sz w:val="22"/>
          <w:szCs w:val="22"/>
        </w:rPr>
      </w:pPr>
      <w:r>
        <w:rPr>
          <w:rFonts w:ascii="Arial" w:hAnsi="Arial" w:cs="Arial"/>
          <w:b/>
          <w:bCs/>
          <w:color w:val="26282A"/>
          <w:sz w:val="22"/>
          <w:szCs w:val="22"/>
        </w:rPr>
        <w:t>6</w:t>
      </w:r>
      <w:r w:rsidR="00AA1CA2">
        <w:rPr>
          <w:rFonts w:ascii="Arial" w:hAnsi="Arial" w:cs="Arial"/>
          <w:b/>
          <w:bCs/>
          <w:color w:val="26282A"/>
          <w:sz w:val="22"/>
          <w:szCs w:val="22"/>
        </w:rPr>
        <w:t xml:space="preserve">- </w:t>
      </w:r>
      <w:r w:rsidR="00AA1CA2" w:rsidRPr="00AA1CA2">
        <w:rPr>
          <w:rFonts w:ascii="Arial" w:hAnsi="Arial" w:cs="Arial"/>
          <w:b/>
          <w:bCs/>
          <w:color w:val="26282A"/>
          <w:sz w:val="22"/>
          <w:szCs w:val="22"/>
        </w:rPr>
        <w:t>Medida cautelar. Instancia originaria. Remisión a precedentes. Examen de requisitos de procedencia de las medidas cautelares.</w:t>
      </w:r>
      <w:r w:rsidR="00EC5E1B">
        <w:rPr>
          <w:rFonts w:ascii="Arial" w:hAnsi="Arial" w:cs="Arial"/>
          <w:b/>
          <w:bCs/>
          <w:color w:val="26282A"/>
          <w:sz w:val="22"/>
          <w:szCs w:val="22"/>
        </w:rPr>
        <w:t xml:space="preserve"> (pendiente de reunión anterior).</w:t>
      </w:r>
    </w:p>
    <w:p w:rsidR="00AA1CA2" w:rsidRDefault="00AA1CA2" w:rsidP="000B5F58">
      <w:pPr>
        <w:pStyle w:val="NormalWeb"/>
        <w:shd w:val="clear" w:color="auto" w:fill="FFFFFF"/>
        <w:spacing w:after="0"/>
        <w:ind w:left="720"/>
        <w:jc w:val="both"/>
        <w:rPr>
          <w:rFonts w:ascii="Arial" w:hAnsi="Arial" w:cs="Arial"/>
          <w:b/>
          <w:bCs/>
          <w:color w:val="26282A"/>
          <w:sz w:val="22"/>
          <w:szCs w:val="22"/>
        </w:rPr>
      </w:pPr>
      <w:r>
        <w:rPr>
          <w:rFonts w:ascii="Arial" w:hAnsi="Arial" w:cs="Arial"/>
          <w:b/>
          <w:bCs/>
          <w:color w:val="26282A"/>
          <w:sz w:val="22"/>
          <w:szCs w:val="22"/>
        </w:rPr>
        <w:t xml:space="preserve">“Nueva </w:t>
      </w:r>
      <w:proofErr w:type="spellStart"/>
      <w:r>
        <w:rPr>
          <w:rFonts w:ascii="Arial" w:hAnsi="Arial" w:cs="Arial"/>
          <w:b/>
          <w:bCs/>
          <w:color w:val="26282A"/>
          <w:sz w:val="22"/>
          <w:szCs w:val="22"/>
        </w:rPr>
        <w:t>Chevallier</w:t>
      </w:r>
      <w:proofErr w:type="spellEnd"/>
      <w:r>
        <w:rPr>
          <w:rFonts w:ascii="Arial" w:hAnsi="Arial" w:cs="Arial"/>
          <w:b/>
          <w:bCs/>
          <w:color w:val="26282A"/>
          <w:sz w:val="22"/>
          <w:szCs w:val="22"/>
        </w:rPr>
        <w:t xml:space="preserve"> S.A. c/ La Pampa, Provincia de s/ acción declarativa de inconstitucionalidad. CSJN, 30/04/2024.</w:t>
      </w:r>
    </w:p>
    <w:p w:rsidR="00AA1CA2" w:rsidRDefault="00AA1CA2" w:rsidP="000B5F58">
      <w:pPr>
        <w:pStyle w:val="NormalWeb"/>
        <w:shd w:val="clear" w:color="auto" w:fill="FFFFFF"/>
        <w:spacing w:after="0"/>
        <w:ind w:left="720"/>
        <w:jc w:val="both"/>
        <w:rPr>
          <w:rFonts w:ascii="Arial" w:hAnsi="Arial" w:cs="Arial"/>
          <w:bCs/>
          <w:i/>
          <w:iCs/>
          <w:color w:val="26282A"/>
          <w:sz w:val="22"/>
          <w:szCs w:val="22"/>
        </w:rPr>
      </w:pPr>
      <w:r w:rsidRPr="00AA1CA2">
        <w:rPr>
          <w:rFonts w:ascii="Arial" w:hAnsi="Arial" w:cs="Arial"/>
          <w:bCs/>
          <w:i/>
          <w:iCs/>
          <w:color w:val="26282A"/>
          <w:sz w:val="22"/>
          <w:szCs w:val="22"/>
        </w:rPr>
        <w:t>Comentarios a cargo de</w:t>
      </w:r>
      <w:r>
        <w:rPr>
          <w:rFonts w:ascii="Arial" w:hAnsi="Arial" w:cs="Arial"/>
          <w:bCs/>
          <w:i/>
          <w:iCs/>
          <w:color w:val="26282A"/>
          <w:sz w:val="22"/>
          <w:szCs w:val="22"/>
        </w:rPr>
        <w:t xml:space="preserve"> </w:t>
      </w:r>
      <w:r w:rsidRPr="00AA1CA2">
        <w:rPr>
          <w:rFonts w:ascii="Arial" w:hAnsi="Arial" w:cs="Arial"/>
          <w:bCs/>
          <w:i/>
          <w:iCs/>
          <w:color w:val="26282A"/>
          <w:sz w:val="22"/>
          <w:szCs w:val="22"/>
        </w:rPr>
        <w:t>Federico Ochoa.</w:t>
      </w:r>
    </w:p>
    <w:p w:rsidR="00AA1CA2" w:rsidRDefault="00AA1CA2" w:rsidP="00AA1CA2">
      <w:pPr>
        <w:pStyle w:val="NormalWeb"/>
        <w:shd w:val="clear" w:color="auto" w:fill="FFFFFF"/>
        <w:spacing w:after="0" w:line="276" w:lineRule="auto"/>
        <w:ind w:left="720"/>
        <w:jc w:val="both"/>
        <w:rPr>
          <w:rFonts w:ascii="Arial" w:hAnsi="Arial" w:cs="Arial"/>
          <w:b/>
          <w:bCs/>
          <w:color w:val="26282A"/>
          <w:sz w:val="22"/>
          <w:szCs w:val="22"/>
        </w:rPr>
      </w:pPr>
    </w:p>
    <w:p w:rsidR="00AA1CA2" w:rsidRDefault="00AA1CA2" w:rsidP="00AA1CA2">
      <w:pPr>
        <w:pStyle w:val="NormalWeb"/>
        <w:shd w:val="clear" w:color="auto" w:fill="FFFFFF"/>
        <w:spacing w:after="0" w:line="276" w:lineRule="auto"/>
        <w:ind w:left="720"/>
        <w:jc w:val="both"/>
        <w:rPr>
          <w:rFonts w:ascii="Arial" w:hAnsi="Arial" w:cs="Arial"/>
          <w:b/>
          <w:bCs/>
          <w:color w:val="26282A"/>
          <w:sz w:val="22"/>
          <w:szCs w:val="22"/>
        </w:rPr>
      </w:pPr>
    </w:p>
    <w:p w:rsidR="00AA1CA2" w:rsidRPr="00AA1CA2" w:rsidRDefault="00AA1CA2" w:rsidP="00AA1CA2">
      <w:pPr>
        <w:pStyle w:val="NormalWeb"/>
        <w:shd w:val="clear" w:color="auto" w:fill="FFFFFF"/>
        <w:spacing w:after="0" w:line="330" w:lineRule="atLeast"/>
        <w:ind w:left="720"/>
        <w:jc w:val="both"/>
        <w:rPr>
          <w:rFonts w:ascii="Arial" w:hAnsi="Arial" w:cs="Arial"/>
          <w:b/>
          <w:bCs/>
          <w:color w:val="26282A"/>
          <w:sz w:val="22"/>
          <w:szCs w:val="22"/>
        </w:rPr>
      </w:pPr>
    </w:p>
    <w:p w:rsidR="00AC07D2" w:rsidRDefault="00AC07D2" w:rsidP="00AC07D2">
      <w:pPr>
        <w:pStyle w:val="NormalWeb"/>
        <w:shd w:val="clear" w:color="auto" w:fill="FFFFFF"/>
        <w:spacing w:before="0" w:beforeAutospacing="0" w:after="0" w:afterAutospacing="0" w:line="330" w:lineRule="atLeast"/>
        <w:ind w:left="720"/>
        <w:jc w:val="both"/>
        <w:rPr>
          <w:rFonts w:ascii="Arial" w:hAnsi="Arial" w:cs="Arial"/>
          <w:b/>
          <w:bCs/>
          <w:color w:val="26282A"/>
          <w:sz w:val="22"/>
          <w:szCs w:val="22"/>
        </w:rPr>
      </w:pPr>
    </w:p>
    <w:p w:rsidR="00AC07D2" w:rsidRDefault="00AC07D2" w:rsidP="00AC07D2">
      <w:pPr>
        <w:pStyle w:val="NormalWeb"/>
        <w:shd w:val="clear" w:color="auto" w:fill="FFFFFF"/>
        <w:spacing w:before="0" w:beforeAutospacing="0" w:after="0" w:afterAutospacing="0" w:line="330" w:lineRule="atLeast"/>
        <w:ind w:left="720"/>
        <w:jc w:val="both"/>
        <w:rPr>
          <w:rFonts w:ascii="Calibri" w:hAnsi="Calibri" w:cs="Calibri"/>
          <w:color w:val="222222"/>
          <w:sz w:val="22"/>
          <w:szCs w:val="22"/>
        </w:rPr>
      </w:pPr>
    </w:p>
    <w:p w:rsidR="00FB2BD1" w:rsidRDefault="00FB2BD1"/>
    <w:sectPr w:rsidR="00FB2BD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3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7D2"/>
    <w:rsid w:val="000B5F58"/>
    <w:rsid w:val="004E32F4"/>
    <w:rsid w:val="006144C4"/>
    <w:rsid w:val="00AA1CA2"/>
    <w:rsid w:val="00AC07D2"/>
    <w:rsid w:val="00EC5E1B"/>
    <w:rsid w:val="00FB2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CF064"/>
  <w15:chartTrackingRefBased/>
  <w15:docId w15:val="{EF3BCCEE-D18B-4105-8B89-2E081E5D0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C07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5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MacBook Air</cp:lastModifiedBy>
  <cp:revision>2</cp:revision>
  <dcterms:created xsi:type="dcterms:W3CDTF">2024-08-07T18:02:00Z</dcterms:created>
  <dcterms:modified xsi:type="dcterms:W3CDTF">2024-08-07T18:02:00Z</dcterms:modified>
</cp:coreProperties>
</file>